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5A2857B3" w14:textId="77777777" w:rsidTr="00E01B9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F0F"/>
            <w:tcMar>
              <w:top w:w="400" w:type="dxa"/>
              <w:left w:w="480" w:type="dxa"/>
              <w:bottom w:w="400" w:type="dxa"/>
              <w:right w:w="480" w:type="dxa"/>
            </w:tcMar>
          </w:tcPr>
          <w:p w14:paraId="17E439CB" w14:textId="193534EE" w:rsidR="004A2E8E" w:rsidRPr="00E01B98" w:rsidRDefault="00000000" w:rsidP="00E01B98">
            <w:pPr>
              <w:tabs>
                <w:tab w:val="left" w:pos="720"/>
              </w:tabs>
              <w:spacing w:after="80"/>
              <w:jc w:val="center"/>
              <w:rPr>
                <w:sz w:val="44"/>
                <w:szCs w:val="44"/>
              </w:rPr>
            </w:pPr>
            <w:r w:rsidRPr="00E01B98">
              <w:rPr>
                <w:b/>
                <w:bCs/>
                <w:color w:val="7EB87E"/>
                <w:sz w:val="36"/>
                <w:szCs w:val="36"/>
              </w:rPr>
              <w:t xml:space="preserve">BEHIND THE </w:t>
            </w:r>
            <w:proofErr w:type="gramStart"/>
            <w:r w:rsidRPr="00E01B98">
              <w:rPr>
                <w:b/>
                <w:bCs/>
                <w:color w:val="7EB87E"/>
                <w:sz w:val="36"/>
                <w:szCs w:val="36"/>
              </w:rPr>
              <w:t>JOURNEY  ·</w:t>
            </w:r>
            <w:proofErr w:type="gramEnd"/>
            <w:r w:rsidRPr="00E01B98">
              <w:rPr>
                <w:b/>
                <w:bCs/>
                <w:color w:val="7EB87E"/>
                <w:sz w:val="36"/>
                <w:szCs w:val="36"/>
              </w:rPr>
              <w:t xml:space="preserve">  ISSUE </w:t>
            </w:r>
            <w:proofErr w:type="gramStart"/>
            <w:r w:rsidRPr="00E01B98">
              <w:rPr>
                <w:b/>
                <w:bCs/>
                <w:color w:val="7EB87E"/>
                <w:sz w:val="36"/>
                <w:szCs w:val="36"/>
              </w:rPr>
              <w:t>01  ·</w:t>
            </w:r>
            <w:proofErr w:type="gramEnd"/>
            <w:r w:rsidRPr="00E01B98">
              <w:rPr>
                <w:b/>
                <w:bCs/>
                <w:color w:val="7EB87E"/>
                <w:sz w:val="36"/>
                <w:szCs w:val="36"/>
              </w:rPr>
              <w:t xml:space="preserve">  MAY 2026</w:t>
            </w:r>
          </w:p>
          <w:p w14:paraId="2989D3D9" w14:textId="77777777" w:rsidR="004A2E8E" w:rsidRDefault="00000000" w:rsidP="00E01B98">
            <w:pPr>
              <w:tabs>
                <w:tab w:val="left" w:pos="720"/>
              </w:tabs>
              <w:spacing w:before="80"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48"/>
                <w:szCs w:val="48"/>
              </w:rPr>
              <w:t>Mark Skoda Health</w:t>
            </w:r>
          </w:p>
          <w:p w14:paraId="27910107" w14:textId="77777777" w:rsidR="004A2E8E" w:rsidRPr="00E01B98" w:rsidRDefault="00000000" w:rsidP="00E01B98">
            <w:pPr>
              <w:tabs>
                <w:tab w:val="left" w:pos="720"/>
              </w:tabs>
              <w:spacing w:after="120"/>
              <w:jc w:val="center"/>
              <w:rPr>
                <w:color w:val="FFFFFF" w:themeColor="background1"/>
              </w:rPr>
            </w:pPr>
            <w:r w:rsidRPr="00E01B98">
              <w:rPr>
                <w:color w:val="FFFFFF" w:themeColor="background1"/>
                <w:sz w:val="16"/>
                <w:szCs w:val="16"/>
              </w:rPr>
              <w:t xml:space="preserve">THE 6-PILLAR </w:t>
            </w:r>
            <w:proofErr w:type="gramStart"/>
            <w:r w:rsidRPr="00E01B98">
              <w:rPr>
                <w:color w:val="FFFFFF" w:themeColor="background1"/>
                <w:sz w:val="16"/>
                <w:szCs w:val="16"/>
              </w:rPr>
              <w:t>PROTOCOL  ·</w:t>
            </w:r>
            <w:proofErr w:type="gramEnd"/>
            <w:r w:rsidRPr="00E01B98">
              <w:rPr>
                <w:color w:val="FFFFFF" w:themeColor="background1"/>
                <w:sz w:val="16"/>
                <w:szCs w:val="16"/>
              </w:rPr>
              <w:t xml:space="preserve">  NASHVILLE, TENNESSEE</w:t>
            </w:r>
          </w:p>
          <w:p w14:paraId="00E1312E" w14:textId="77777777" w:rsidR="004A2E8E" w:rsidRDefault="00000000" w:rsidP="00E01B98">
            <w:pPr>
              <w:tabs>
                <w:tab w:val="left" w:pos="720"/>
              </w:tabs>
              <w:spacing w:before="120" w:after="80"/>
              <w:jc w:val="center"/>
            </w:pPr>
            <w:r w:rsidRPr="00E01B98">
              <w:rPr>
                <w:i/>
                <w:iCs/>
                <w:color w:val="FFFFFF" w:themeColor="background1"/>
                <w:sz w:val="20"/>
                <w:szCs w:val="20"/>
              </w:rPr>
              <w:t>Clinical documentation of a systematic health transformation — real data, real decisions, real results.</w:t>
            </w:r>
          </w:p>
        </w:tc>
      </w:tr>
    </w:tbl>
    <w:p w14:paraId="58B94B63" w14:textId="77777777" w:rsidR="004A2E8E" w:rsidRDefault="004A2E8E" w:rsidP="00E01B98">
      <w:pPr>
        <w:tabs>
          <w:tab w:val="left" w:pos="720"/>
        </w:tabs>
        <w:ind w:left="240"/>
        <w:jc w:val="center"/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7C9590BD" w14:textId="77777777" w:rsidTr="00E01B9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F0F"/>
            <w:tcMar>
              <w:top w:w="0" w:type="dxa"/>
              <w:left w:w="480" w:type="dxa"/>
              <w:bottom w:w="320" w:type="dxa"/>
              <w:right w:w="480" w:type="dxa"/>
            </w:tcMar>
          </w:tcPr>
          <w:p w14:paraId="578E06B4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b/>
                <w:bCs/>
                <w:color w:val="7EB87E"/>
                <w:sz w:val="17"/>
                <w:szCs w:val="17"/>
              </w:rPr>
              <w:t>INAUGURAL ISSUE</w:t>
            </w:r>
          </w:p>
          <w:p w14:paraId="7EA41D40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60"/>
                <w:szCs w:val="60"/>
              </w:rPr>
              <w:t xml:space="preserve">Age is 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FFF"/>
                <w:sz w:val="60"/>
                <w:szCs w:val="60"/>
              </w:rPr>
              <w:t>a variable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FFF"/>
                <w:sz w:val="60"/>
                <w:szCs w:val="60"/>
              </w:rPr>
              <w:t>,</w:t>
            </w:r>
          </w:p>
          <w:p w14:paraId="790315BC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rFonts w:ascii="Georgia" w:eastAsia="Georgia" w:hAnsi="Georgia" w:cs="Georgia"/>
                <w:b/>
                <w:bCs/>
                <w:i/>
                <w:iCs/>
                <w:color w:val="7EB87E"/>
                <w:sz w:val="60"/>
                <w:szCs w:val="60"/>
              </w:rPr>
              <w:t>not a verdict.</w:t>
            </w:r>
          </w:p>
          <w:p w14:paraId="0665C64F" w14:textId="77777777" w:rsidR="004A2E8E" w:rsidRDefault="004A2E8E" w:rsidP="00E01B98">
            <w:pPr>
              <w:tabs>
                <w:tab w:val="left" w:pos="720"/>
              </w:tabs>
              <w:spacing w:before="80" w:after="80"/>
              <w:jc w:val="center"/>
            </w:pPr>
          </w:p>
          <w:p w14:paraId="097585AA" w14:textId="78A33313" w:rsidR="004A2E8E" w:rsidRDefault="00000000" w:rsidP="00E01B98">
            <w:pPr>
              <w:tabs>
                <w:tab w:val="left" w:pos="720"/>
              </w:tabs>
              <w:jc w:val="center"/>
            </w:pPr>
            <w:r w:rsidRPr="00E01B98">
              <w:rPr>
                <w:color w:val="FFFFFF" w:themeColor="background1"/>
              </w:rPr>
              <w:t xml:space="preserve">At 71, I reversed insulin-dependent Type 2 diabetes, achieved a biological age of </w:t>
            </w:r>
            <w:r w:rsidR="002E781B">
              <w:rPr>
                <w:color w:val="FFFFFF" w:themeColor="background1"/>
              </w:rPr>
              <w:t>52</w:t>
            </w:r>
            <w:r w:rsidRPr="00E01B98">
              <w:rPr>
                <w:color w:val="FFFFFF" w:themeColor="background1"/>
              </w:rPr>
              <w:t xml:space="preserve">, and built a physician-supervised protocol that continues to improve every quarter. This newsletter is </w:t>
            </w:r>
            <w:proofErr w:type="gramStart"/>
            <w:r w:rsidRPr="00E01B98">
              <w:rPr>
                <w:color w:val="FFFFFF" w:themeColor="background1"/>
              </w:rPr>
              <w:t>the</w:t>
            </w:r>
            <w:proofErr w:type="gramEnd"/>
            <w:r w:rsidRPr="00E01B98">
              <w:rPr>
                <w:color w:val="FFFFFF" w:themeColor="background1"/>
              </w:rPr>
              <w:t xml:space="preserve"> inside account of how.</w:t>
            </w:r>
          </w:p>
        </w:tc>
      </w:tr>
    </w:tbl>
    <w:p w14:paraId="10DE9587" w14:textId="77777777" w:rsidR="004A2E8E" w:rsidRDefault="004A2E8E" w:rsidP="00E01B98">
      <w:pPr>
        <w:tabs>
          <w:tab w:val="left" w:pos="720"/>
        </w:tabs>
        <w:ind w:left="240"/>
        <w:jc w:val="center"/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400"/>
        <w:gridCol w:w="3213"/>
      </w:tblGrid>
      <w:tr w:rsidR="004A2E8E" w14:paraId="0E244061" w14:textId="77777777" w:rsidTr="00E01B9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160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1B210D" w14:textId="69AE236A" w:rsidR="004A2E8E" w:rsidRDefault="00E01B98" w:rsidP="00E01B98">
            <w:pPr>
              <w:tabs>
                <w:tab w:val="left" w:pos="720"/>
              </w:tabs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7EB87E"/>
                <w:sz w:val="56"/>
                <w:szCs w:val="56"/>
              </w:rPr>
              <w:t>52</w:t>
            </w:r>
          </w:p>
          <w:p w14:paraId="19CFD4BB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>BIOLOGICAL AGE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160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520B7B7" w14:textId="77777777" w:rsidR="004A2E8E" w:rsidRDefault="00000000" w:rsidP="00E01B98">
            <w:pPr>
              <w:tabs>
                <w:tab w:val="left" w:pos="720"/>
              </w:tabs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7EB87E"/>
                <w:sz w:val="56"/>
                <w:szCs w:val="56"/>
              </w:rPr>
              <w:t>71</w:t>
            </w:r>
          </w:p>
          <w:p w14:paraId="6334C0A5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>CHRONOLOGICAL AGE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160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9CF599F" w14:textId="77777777" w:rsidR="004A2E8E" w:rsidRDefault="00000000" w:rsidP="00E01B98">
            <w:pPr>
              <w:tabs>
                <w:tab w:val="left" w:pos="720"/>
              </w:tabs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7EB87E"/>
                <w:sz w:val="56"/>
                <w:szCs w:val="56"/>
              </w:rPr>
              <w:t>6.0%</w:t>
            </w:r>
          </w:p>
          <w:p w14:paraId="22AE273E" w14:textId="77777777" w:rsidR="004A2E8E" w:rsidRDefault="00000000" w:rsidP="00E01B98">
            <w:pPr>
              <w:tabs>
                <w:tab w:val="left" w:pos="720"/>
              </w:tabs>
              <w:spacing w:after="80"/>
              <w:jc w:val="center"/>
            </w:pPr>
            <w:r>
              <w:rPr>
                <w:color w:val="666666"/>
                <w:sz w:val="16"/>
                <w:szCs w:val="16"/>
              </w:rPr>
              <w:t>HBA1C — REVERSED</w:t>
            </w:r>
          </w:p>
        </w:tc>
      </w:tr>
    </w:tbl>
    <w:p w14:paraId="1FC68E53" w14:textId="77777777" w:rsidR="004A2E8E" w:rsidRDefault="004A2E8E">
      <w:pPr>
        <w:spacing w:before="280"/>
      </w:pPr>
    </w:p>
    <w:p w14:paraId="1F4ECBC3" w14:textId="77777777" w:rsidR="004A2E8E" w:rsidRDefault="00000000">
      <w:pPr>
        <w:spacing w:after="80"/>
      </w:pPr>
      <w:r>
        <w:rPr>
          <w:b/>
          <w:bCs/>
          <w:color w:val="5A9E5A"/>
          <w:sz w:val="18"/>
          <w:szCs w:val="18"/>
        </w:rPr>
        <w:t>FROM THE EDITOR</w:t>
      </w:r>
    </w:p>
    <w:p w14:paraId="2CEBC7DD" w14:textId="77777777" w:rsidR="004A2E8E" w:rsidRDefault="00000000">
      <w:pPr>
        <w:spacing w:before="80" w:after="160"/>
      </w:pPr>
      <w:r>
        <w:rPr>
          <w:rFonts w:ascii="Georgia" w:eastAsia="Georgia" w:hAnsi="Georgia" w:cs="Georgia"/>
          <w:b/>
          <w:bCs/>
          <w:color w:val="0D1F0F"/>
          <w:sz w:val="36"/>
          <w:szCs w:val="36"/>
        </w:rPr>
        <w:t>Why I'm publishing this in public</w:t>
      </w:r>
    </w:p>
    <w:p w14:paraId="6C5F42D2" w14:textId="77777777" w:rsidR="004A2E8E" w:rsidRDefault="00000000">
      <w:pPr>
        <w:spacing w:after="140"/>
      </w:pPr>
      <w:r>
        <w:rPr>
          <w:color w:val="3A3A36"/>
        </w:rPr>
        <w:t xml:space="preserve">On July 11, 2025, I sat down with a set of biomarkers that most people would find alarming. Insulin-dependent </w:t>
      </w:r>
      <w:proofErr w:type="gramStart"/>
      <w:r>
        <w:rPr>
          <w:color w:val="3A3A36"/>
        </w:rPr>
        <w:t>diabetic</w:t>
      </w:r>
      <w:proofErr w:type="gramEnd"/>
      <w:r>
        <w:rPr>
          <w:color w:val="3A3A36"/>
        </w:rPr>
        <w:t>. Visceral fat accumulation. Lipid markers heading in the wrong direction. I was 71 years old, had built and run companies for four decades, and the body that carried me through all of it was sending clear signals.</w:t>
      </w:r>
    </w:p>
    <w:p w14:paraId="1D9374D1" w14:textId="77777777" w:rsidR="004A2E8E" w:rsidRDefault="00000000">
      <w:pPr>
        <w:spacing w:after="140"/>
      </w:pPr>
      <w:r>
        <w:rPr>
          <w:color w:val="3A3A36"/>
        </w:rPr>
        <w:t>I am a systems engineer by training. I have run global operations, managed M&amp;</w:t>
      </w:r>
      <w:proofErr w:type="gramStart"/>
      <w:r>
        <w:rPr>
          <w:color w:val="3A3A36"/>
        </w:rPr>
        <w:t>A at</w:t>
      </w:r>
      <w:proofErr w:type="gramEnd"/>
      <w:r>
        <w:rPr>
          <w:color w:val="3A3A36"/>
        </w:rPr>
        <w:t xml:space="preserve"> scale, and served as CEO of a publicly traded company. When I looked at those numbers, I did not see a medical problem. I saw a process problem — one that could be diagnosed, structured, and solved.</w:t>
      </w:r>
    </w:p>
    <w:p w14:paraId="3CF53996" w14:textId="77777777" w:rsidR="004A2E8E" w:rsidRDefault="00000000">
      <w:pPr>
        <w:spacing w:after="140"/>
      </w:pPr>
      <w:r>
        <w:rPr>
          <w:color w:val="3A3A36"/>
        </w:rPr>
        <w:t>What followed was ten months of the most rigorous analytical work I have ever applied to any project. Not pharmaceutical shortcuts. Not generic wellness advice. A structured, data-driven, physician-supervised protocol — built from first principles, tracked in real time, and refined quarterly.</w:t>
      </w:r>
    </w:p>
    <w:p w14:paraId="26AF0A28" w14:textId="77777777" w:rsidR="004A2E8E" w:rsidRDefault="004A2E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4B982E69" w14:textId="77777777">
        <w:tc>
          <w:tcPr>
            <w:tcW w:w="0" w:type="auto"/>
            <w:tcBorders>
              <w:top w:val="none" w:sz="0" w:space="0" w:color="FFFFFF"/>
              <w:left w:val="single" w:sz="12" w:space="0" w:color="5A9E5A"/>
              <w:bottom w:val="none" w:sz="0" w:space="0" w:color="FFFFFF"/>
              <w:right w:val="none" w:sz="0" w:space="0" w:color="FFFFFF"/>
            </w:tcBorders>
            <w:shd w:val="clear" w:color="auto" w:fill="F7F5E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4257221" w14:textId="77777777" w:rsidR="004A2E8E" w:rsidRDefault="00000000">
            <w:r>
              <w:rPr>
                <w:rFonts w:ascii="Georgia" w:eastAsia="Georgia" w:hAnsi="Georgia" w:cs="Georgia"/>
                <w:i/>
                <w:iCs/>
                <w:color w:val="0D1F0F"/>
                <w:sz w:val="26"/>
                <w:szCs w:val="26"/>
              </w:rPr>
              <w:t>“I am not trying to sell you a supplement. I am documenting what it looks like when a trained engineer applies genuine analytical discipline to the most important system he has ever managed — his own biology.”</w:t>
            </w:r>
          </w:p>
        </w:tc>
      </w:tr>
    </w:tbl>
    <w:p w14:paraId="2839447E" w14:textId="77777777" w:rsidR="004A2E8E" w:rsidRDefault="004A2E8E">
      <w:pPr>
        <w:spacing w:before="80" w:after="80"/>
      </w:pPr>
    </w:p>
    <w:p w14:paraId="38056127" w14:textId="77777777" w:rsidR="004A2E8E" w:rsidRDefault="00000000">
      <w:pPr>
        <w:spacing w:after="140"/>
      </w:pPr>
      <w:r>
        <w:rPr>
          <w:color w:val="3A3A36"/>
        </w:rPr>
        <w:lastRenderedPageBreak/>
        <w:t>The results are documented. The case study is under submission to BMJ Case Reports. Vanderbilt University Medical Center supervises the protocol. The data is real and independently verifiable.</w:t>
      </w:r>
    </w:p>
    <w:p w14:paraId="416CE4AB" w14:textId="77777777" w:rsidR="004A2E8E" w:rsidRDefault="00000000">
      <w:pPr>
        <w:spacing w:after="140"/>
      </w:pPr>
      <w:r>
        <w:rPr>
          <w:color w:val="3A3A36"/>
        </w:rPr>
        <w:t>This newsletter is the inside account — every protocol adjustment, every biomarker read, every decision point. For subscribers, it is access to a longitudinal experiment in human performance optimization that most people will never see.</w:t>
      </w:r>
    </w:p>
    <w:p w14:paraId="098D4340" w14:textId="77777777" w:rsidR="004A2E8E" w:rsidRDefault="004A2E8E">
      <w:pPr>
        <w:pBdr>
          <w:bottom w:val="single" w:sz="4" w:space="0" w:color="E8E5DE"/>
        </w:pBdr>
        <w:spacing w:before="200" w:after="200"/>
      </w:pPr>
    </w:p>
    <w:p w14:paraId="0B599A89" w14:textId="77777777" w:rsidR="004A2E8E" w:rsidRDefault="00000000">
      <w:pPr>
        <w:spacing w:after="80"/>
      </w:pPr>
      <w:r>
        <w:rPr>
          <w:b/>
          <w:bCs/>
          <w:color w:val="5A9E5A"/>
          <w:sz w:val="18"/>
          <w:szCs w:val="18"/>
        </w:rPr>
        <w:t>THE NUMBERS — MARCH 2026 ASSESSMENT</w:t>
      </w:r>
    </w:p>
    <w:p w14:paraId="078A3AA9" w14:textId="77777777" w:rsidR="004A2E8E" w:rsidRDefault="00000000">
      <w:pPr>
        <w:spacing w:before="80" w:after="160"/>
      </w:pPr>
      <w:r>
        <w:rPr>
          <w:rFonts w:ascii="Georgia" w:eastAsia="Georgia" w:hAnsi="Georgia" w:cs="Georgia"/>
          <w:b/>
          <w:bCs/>
          <w:color w:val="0D1F0F"/>
          <w:sz w:val="36"/>
          <w:szCs w:val="36"/>
        </w:rPr>
        <w:t xml:space="preserve">What the clinical data </w:t>
      </w:r>
      <w:proofErr w:type="gramStart"/>
      <w:r>
        <w:rPr>
          <w:rFonts w:ascii="Georgia" w:eastAsia="Georgia" w:hAnsi="Georgia" w:cs="Georgia"/>
          <w:b/>
          <w:bCs/>
          <w:color w:val="0D1F0F"/>
          <w:sz w:val="36"/>
          <w:szCs w:val="36"/>
        </w:rPr>
        <w:t>actually shows</w:t>
      </w:r>
      <w:proofErr w:type="gramEnd"/>
    </w:p>
    <w:p w14:paraId="5CF92468" w14:textId="77777777" w:rsidR="004A2E8E" w:rsidRDefault="00000000">
      <w:pPr>
        <w:spacing w:after="140"/>
      </w:pPr>
      <w:r>
        <w:rPr>
          <w:color w:val="3A3A36"/>
        </w:rPr>
        <w:t xml:space="preserve">Every quarter I run a three-source clinical assessment: a 57-biomarker </w:t>
      </w:r>
      <w:proofErr w:type="spellStart"/>
      <w:r>
        <w:rPr>
          <w:color w:val="3A3A36"/>
        </w:rPr>
        <w:t>SiPhox</w:t>
      </w:r>
      <w:proofErr w:type="spellEnd"/>
      <w:r>
        <w:rPr>
          <w:color w:val="3A3A36"/>
        </w:rPr>
        <w:t xml:space="preserve"> blood panel, a DEXA body composition scan, and a Resting Metabolic Rate test. No single instrument tells the full story — the synthesis across all three is where the signal is.</w:t>
      </w:r>
    </w:p>
    <w:p w14:paraId="5CF6A0C4" w14:textId="77777777" w:rsidR="004A2E8E" w:rsidRDefault="004A2E8E">
      <w:pPr>
        <w:spacing w:before="80" w:after="80"/>
      </w:pPr>
    </w:p>
    <w:tbl>
      <w:tblPr>
        <w:tblW w:w="936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2D07E986" w14:textId="77777777" w:rsidTr="00E01B9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F0F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7C826A1F" w14:textId="77777777" w:rsidR="004A2E8E" w:rsidRDefault="00000000">
            <w:pPr>
              <w:spacing w:after="160"/>
            </w:pPr>
            <w:r>
              <w:rPr>
                <w:b/>
                <w:bCs/>
                <w:color w:val="7EB87E"/>
                <w:sz w:val="17"/>
                <w:szCs w:val="17"/>
              </w:rPr>
              <w:t>MARCH 2026 — SELECTED BIOMARKERS &amp; COMPOSITION METRICS</w:t>
            </w:r>
          </w:p>
          <w:tbl>
            <w:tblPr>
              <w:tblW w:w="8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27"/>
              <w:gridCol w:w="3533"/>
            </w:tblGrid>
            <w:tr w:rsidR="004A2E8E" w14:paraId="7257BEC9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322E2F2F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HbA1c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30D4E4BC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6.0% ↓</w:t>
                  </w:r>
                </w:p>
              </w:tc>
            </w:tr>
            <w:tr w:rsidR="004A2E8E" w14:paraId="6F5D5C24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2B3F1198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Testosterone (Total)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2D92AF57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Elite range</w:t>
                  </w:r>
                </w:p>
              </w:tc>
            </w:tr>
            <w:tr w:rsidR="004A2E8E" w14:paraId="79E08499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6BA4D27A" w14:textId="77777777" w:rsidR="004A2E8E" w:rsidRPr="00E01B98" w:rsidRDefault="00000000" w:rsidP="00E01B98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Visceral Fat Level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2D2B86D6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7 (standard range)</w:t>
                  </w:r>
                </w:p>
              </w:tc>
            </w:tr>
            <w:tr w:rsidR="004A2E8E" w14:paraId="25E9AA7B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354BDF03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Bone Density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3AB752A0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Standout marker</w:t>
                  </w:r>
                </w:p>
              </w:tc>
            </w:tr>
            <w:tr w:rsidR="004A2E8E" w14:paraId="04839B4A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103DE8CF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Skeletal Muscle (Δ)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3219028D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Zero net loss</w:t>
                  </w:r>
                </w:p>
              </w:tc>
            </w:tr>
            <w:tr w:rsidR="004A2E8E" w14:paraId="5FD87F29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47E924F9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Resting Metabolic Rate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563C3C0C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Standout marker</w:t>
                  </w:r>
                </w:p>
              </w:tc>
            </w:tr>
            <w:tr w:rsidR="004A2E8E" w14:paraId="0D3A81AE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0F9329D4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CGM Time-in-Range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1BB86D01" w14:textId="77777777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Strong (%)</w:t>
                  </w:r>
                </w:p>
              </w:tc>
            </w:tr>
            <w:tr w:rsidR="004A2E8E" w14:paraId="0A4479F3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80" w:type="dxa"/>
                  </w:tcMar>
                </w:tcPr>
                <w:p w14:paraId="188D9A2C" w14:textId="77777777" w:rsidR="004A2E8E" w:rsidRPr="00E01B98" w:rsidRDefault="00000000">
                  <w:pPr>
                    <w:rPr>
                      <w:color w:val="FFFFFF" w:themeColor="background1"/>
                    </w:rPr>
                  </w:pPr>
                  <w:r w:rsidRPr="00E01B98">
                    <w:rPr>
                      <w:color w:val="FFFFFF" w:themeColor="background1"/>
                      <w:sz w:val="20"/>
                      <w:szCs w:val="20"/>
                    </w:rPr>
                    <w:t>Biological Age (Composite)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single" w:sz="1" w:space="0" w:color="1A3A1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0" w:type="dxa"/>
                  </w:tcMar>
                </w:tcPr>
                <w:p w14:paraId="0B60590A" w14:textId="433A76D4" w:rsidR="004A2E8E" w:rsidRDefault="00000000">
                  <w:pPr>
                    <w:jc w:val="right"/>
                  </w:pP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~</w:t>
                  </w:r>
                  <w:r w:rsidR="00BD6C89">
                    <w:rPr>
                      <w:b/>
                      <w:bCs/>
                      <w:color w:val="7EB87E"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bCs/>
                      <w:color w:val="7EB87E"/>
                      <w:sz w:val="20"/>
                      <w:szCs w:val="20"/>
                    </w:rPr>
                    <w:t>2 years</w:t>
                  </w:r>
                </w:p>
              </w:tc>
            </w:tr>
          </w:tbl>
          <w:p w14:paraId="0007244A" w14:textId="77777777" w:rsidR="004A2E8E" w:rsidRDefault="004A2E8E"/>
        </w:tc>
      </w:tr>
    </w:tbl>
    <w:p w14:paraId="23968DD4" w14:textId="77777777" w:rsidR="004A2E8E" w:rsidRDefault="004A2E8E">
      <w:pPr>
        <w:spacing w:before="120" w:after="80"/>
      </w:pPr>
    </w:p>
    <w:p w14:paraId="61CBBE74" w14:textId="77777777" w:rsidR="004A2E8E" w:rsidRDefault="00000000">
      <w:pPr>
        <w:spacing w:after="140"/>
      </w:pPr>
      <w:r>
        <w:rPr>
          <w:color w:val="3A3A36"/>
        </w:rPr>
        <w:t>Within 24 hours of the March assessment, I made four immediate protocol adjustments: initiated pravastatin to target LDL; added citrus bergamot and berberine as adjunct cardiovascular support; designed a Zone 2 cardio protocol specifically targeting visceral fat; and scheduled a therapeutic blood donation to address elevated ferritin. That is what data-driven protocol management looks like in practice.</w:t>
      </w:r>
    </w:p>
    <w:p w14:paraId="60564A12" w14:textId="77777777" w:rsidR="004A2E8E" w:rsidRDefault="004A2E8E">
      <w:pPr>
        <w:pBdr>
          <w:bottom w:val="single" w:sz="4" w:space="0" w:color="E8E5DE"/>
        </w:pBdr>
        <w:spacing w:before="200" w:after="200"/>
      </w:pPr>
    </w:p>
    <w:p w14:paraId="69647DE3" w14:textId="77777777" w:rsidR="004A2E8E" w:rsidRDefault="00000000">
      <w:pPr>
        <w:spacing w:after="80"/>
      </w:pPr>
      <w:r>
        <w:rPr>
          <w:b/>
          <w:bCs/>
          <w:color w:val="5A9E5A"/>
          <w:sz w:val="18"/>
          <w:szCs w:val="18"/>
        </w:rPr>
        <w:t>THE FRAMEWORK</w:t>
      </w:r>
    </w:p>
    <w:p w14:paraId="4F3E5624" w14:textId="77777777" w:rsidR="004A2E8E" w:rsidRDefault="00000000">
      <w:pPr>
        <w:spacing w:before="80" w:after="160"/>
      </w:pPr>
      <w:r>
        <w:rPr>
          <w:rFonts w:ascii="Georgia" w:eastAsia="Georgia" w:hAnsi="Georgia" w:cs="Georgia"/>
          <w:b/>
          <w:bCs/>
          <w:color w:val="0D1F0F"/>
          <w:sz w:val="36"/>
          <w:szCs w:val="36"/>
        </w:rPr>
        <w:t>The 6-Pillar Protocol</w:t>
      </w:r>
    </w:p>
    <w:p w14:paraId="257B7367" w14:textId="77777777" w:rsidR="004A2E8E" w:rsidRDefault="00000000">
      <w:pPr>
        <w:spacing w:after="140"/>
      </w:pPr>
      <w:r>
        <w:rPr>
          <w:color w:val="3A3A36"/>
        </w:rPr>
        <w:t>The protocol is not a collection of health tips. It is an integrated system — six interdependent pillars that produce compounding results only when implemented together. Each pillar is documented in full on MarkSkoda.com.</w:t>
      </w:r>
    </w:p>
    <w:p w14:paraId="0C070579" w14:textId="77777777" w:rsidR="004A2E8E" w:rsidRDefault="004A2E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A2E8E" w14:paraId="7EB79BE4" w14:textId="77777777"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4699846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t>PILLAR 01</w:t>
            </w:r>
          </w:p>
          <w:p w14:paraId="62037A70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Metabolic Foundation</w:t>
            </w:r>
          </w:p>
          <w:p w14:paraId="3A7CFFB1" w14:textId="77777777" w:rsidR="004A2E8E" w:rsidRDefault="00000000">
            <w:r>
              <w:rPr>
                <w:color w:val="6B6B65"/>
                <w:sz w:val="18"/>
                <w:szCs w:val="18"/>
              </w:rPr>
              <w:t>Therapeutic fasting architecture, CGM-guided glucose management, and insulin sensitivity restoration.</w:t>
            </w:r>
          </w:p>
        </w:tc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869FD71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t>PILLAR 02</w:t>
            </w:r>
          </w:p>
          <w:p w14:paraId="452CD794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Continuous Monitoring</w:t>
            </w:r>
          </w:p>
          <w:p w14:paraId="64572872" w14:textId="77777777" w:rsidR="004A2E8E" w:rsidRDefault="00000000">
            <w:r>
              <w:rPr>
                <w:color w:val="6B6B65"/>
                <w:sz w:val="18"/>
                <w:szCs w:val="18"/>
              </w:rPr>
              <w:t>57-biomarker quarterly panels, DEXA body composition, and Dexcom G7 real-time glucose tracking.</w:t>
            </w:r>
          </w:p>
        </w:tc>
      </w:tr>
      <w:tr w:rsidR="004A2E8E" w14:paraId="0FA1970C" w14:textId="77777777"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4E46B0B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lastRenderedPageBreak/>
              <w:t>PILLAR 03</w:t>
            </w:r>
          </w:p>
          <w:p w14:paraId="29EB7085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Resistance Training</w:t>
            </w:r>
          </w:p>
          <w:p w14:paraId="48486AE5" w14:textId="77777777" w:rsidR="004A2E8E" w:rsidRDefault="00000000">
            <w:r>
              <w:rPr>
                <w:color w:val="6B6B65"/>
                <w:sz w:val="18"/>
                <w:szCs w:val="18"/>
              </w:rPr>
              <w:t>Structured progressive load protocol preserving and building skeletal muscle mass through the seventh decade.</w:t>
            </w:r>
          </w:p>
        </w:tc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D399F19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t>PILLAR 04</w:t>
            </w:r>
          </w:p>
          <w:p w14:paraId="469935A2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Optimized Nutrition</w:t>
            </w:r>
          </w:p>
          <w:p w14:paraId="7EAB607D" w14:textId="77777777" w:rsidR="004A2E8E" w:rsidRDefault="00000000">
            <w:r>
              <w:rPr>
                <w:color w:val="6B6B65"/>
                <w:sz w:val="18"/>
                <w:szCs w:val="18"/>
              </w:rPr>
              <w:t>Precision macronutrient architecture validated by CGM feedback and quarterly biomarker response.</w:t>
            </w:r>
          </w:p>
        </w:tc>
      </w:tr>
      <w:tr w:rsidR="004A2E8E" w14:paraId="0824B070" w14:textId="77777777"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52C4FBF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t>PILLAR 05</w:t>
            </w:r>
          </w:p>
          <w:p w14:paraId="4FFC288E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Zone 2 Cardio</w:t>
            </w:r>
          </w:p>
          <w:p w14:paraId="17ACA515" w14:textId="77777777" w:rsidR="004A2E8E" w:rsidRDefault="00000000">
            <w:r>
              <w:rPr>
                <w:color w:val="6B6B65"/>
                <w:sz w:val="18"/>
                <w:szCs w:val="18"/>
              </w:rPr>
              <w:t>Heart-rate-targeted aerobic training designed specifically to reduce visceral adipose tissue.</w:t>
            </w:r>
          </w:p>
        </w:tc>
        <w:tc>
          <w:tcPr>
            <w:tcW w:w="4680" w:type="dxa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545D3C5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6"/>
                <w:szCs w:val="16"/>
              </w:rPr>
              <w:t>PILLAR 06</w:t>
            </w:r>
          </w:p>
          <w:p w14:paraId="72DA0ECB" w14:textId="77777777" w:rsidR="004A2E8E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0D1F0F"/>
                <w:sz w:val="24"/>
                <w:szCs w:val="24"/>
              </w:rPr>
              <w:t>AI-Assisted Optimization</w:t>
            </w:r>
          </w:p>
          <w:p w14:paraId="327686F8" w14:textId="77777777" w:rsidR="004A2E8E" w:rsidRDefault="00000000">
            <w:r>
              <w:rPr>
                <w:color w:val="6B6B65"/>
                <w:sz w:val="18"/>
                <w:szCs w:val="18"/>
              </w:rPr>
              <w:t>Claude Pro as real-time clinical thinking partner — protocol documentation, biomarker interpretation, and decision-support.</w:t>
            </w:r>
          </w:p>
        </w:tc>
      </w:tr>
    </w:tbl>
    <w:p w14:paraId="02917216" w14:textId="77777777" w:rsidR="004A2E8E" w:rsidRDefault="004A2E8E">
      <w:pPr>
        <w:pBdr>
          <w:bottom w:val="single" w:sz="4" w:space="0" w:color="E8E5DE"/>
        </w:pBdr>
        <w:spacing w:before="200" w:after="200"/>
      </w:pPr>
    </w:p>
    <w:p w14:paraId="20D26EB7" w14:textId="77777777" w:rsidR="004A2E8E" w:rsidRDefault="00000000">
      <w:pPr>
        <w:spacing w:after="80"/>
      </w:pPr>
      <w:r>
        <w:rPr>
          <w:b/>
          <w:bCs/>
          <w:color w:val="5A9E5A"/>
          <w:sz w:val="18"/>
          <w:szCs w:val="18"/>
        </w:rPr>
        <w:t>WHAT YOU'LL GET</w:t>
      </w:r>
    </w:p>
    <w:p w14:paraId="43EE2937" w14:textId="77777777" w:rsidR="004A2E8E" w:rsidRDefault="00000000">
      <w:pPr>
        <w:spacing w:before="80" w:after="160"/>
      </w:pPr>
      <w:r>
        <w:rPr>
          <w:rFonts w:ascii="Georgia" w:eastAsia="Georgia" w:hAnsi="Georgia" w:cs="Georgia"/>
          <w:b/>
          <w:bCs/>
          <w:color w:val="0D1F0F"/>
          <w:sz w:val="36"/>
          <w:szCs w:val="36"/>
        </w:rPr>
        <w:t>Inside every issue</w:t>
      </w:r>
    </w:p>
    <w:p w14:paraId="22AFFF72" w14:textId="77777777" w:rsidR="004A2E8E" w:rsidRDefault="00000000">
      <w:pPr>
        <w:spacing w:after="140"/>
      </w:pPr>
      <w:r>
        <w:rPr>
          <w:color w:val="3A3A36"/>
        </w:rPr>
        <w:t>This is not a wellness blog. Behind the Journey is a subscriber-only dispatch that goes where the public content cannot — the specific decisions, the protocol adjustments, the data that drives them, and the reasoning behind each move.</w:t>
      </w:r>
    </w:p>
    <w:p w14:paraId="54E7716F" w14:textId="77777777" w:rsidR="004A2E8E" w:rsidRDefault="004A2E8E">
      <w:pPr>
        <w:spacing w:before="80" w:after="80"/>
      </w:pPr>
    </w:p>
    <w:p w14:paraId="4DF791EE" w14:textId="77777777" w:rsidR="004A2E8E" w:rsidRDefault="00000000">
      <w:pPr>
        <w:pStyle w:val="ListParagraph"/>
        <w:numPr>
          <w:ilvl w:val="0"/>
          <w:numId w:val="2"/>
        </w:numPr>
        <w:spacing w:before="60" w:after="80"/>
      </w:pPr>
      <w:r>
        <w:rPr>
          <w:b/>
          <w:bCs/>
          <w:color w:val="0D1F0F"/>
        </w:rPr>
        <w:t xml:space="preserve">Quarterly benchmark </w:t>
      </w:r>
      <w:proofErr w:type="gramStart"/>
      <w:r>
        <w:rPr>
          <w:b/>
          <w:bCs/>
          <w:color w:val="0D1F0F"/>
        </w:rPr>
        <w:t>breakdowns</w:t>
      </w:r>
      <w:r>
        <w:rPr>
          <w:color w:val="6B6B65"/>
        </w:rPr>
        <w:t xml:space="preserve">  —</w:t>
      </w:r>
      <w:proofErr w:type="gramEnd"/>
      <w:r>
        <w:rPr>
          <w:color w:val="6B6B65"/>
        </w:rPr>
        <w:t xml:space="preserve">  Full analysis of DEXA, </w:t>
      </w:r>
      <w:proofErr w:type="spellStart"/>
      <w:r>
        <w:rPr>
          <w:color w:val="6B6B65"/>
        </w:rPr>
        <w:t>SiPhox</w:t>
      </w:r>
      <w:proofErr w:type="spellEnd"/>
      <w:r>
        <w:rPr>
          <w:color w:val="6B6B65"/>
        </w:rPr>
        <w:t xml:space="preserve"> panel, and RMR data — what changed, what it means, and what I adjusted in response.</w:t>
      </w:r>
    </w:p>
    <w:p w14:paraId="2DA632CD" w14:textId="77777777" w:rsidR="004A2E8E" w:rsidRDefault="00000000">
      <w:pPr>
        <w:pStyle w:val="ListParagraph"/>
        <w:numPr>
          <w:ilvl w:val="0"/>
          <w:numId w:val="3"/>
        </w:numPr>
        <w:spacing w:before="60" w:after="80"/>
      </w:pPr>
      <w:r>
        <w:rPr>
          <w:b/>
          <w:bCs/>
          <w:color w:val="0D1F0F"/>
        </w:rPr>
        <w:t xml:space="preserve">Protocol evolution in real </w:t>
      </w:r>
      <w:proofErr w:type="gramStart"/>
      <w:r>
        <w:rPr>
          <w:b/>
          <w:bCs/>
          <w:color w:val="0D1F0F"/>
        </w:rPr>
        <w:t>time</w:t>
      </w:r>
      <w:r>
        <w:rPr>
          <w:color w:val="6B6B65"/>
        </w:rPr>
        <w:t xml:space="preserve">  —</w:t>
      </w:r>
      <w:proofErr w:type="gramEnd"/>
      <w:r>
        <w:rPr>
          <w:color w:val="6B6B65"/>
        </w:rPr>
        <w:t xml:space="preserve">  The additions, removals, and refinements as they happen — including the reasoning behind each decision.</w:t>
      </w:r>
    </w:p>
    <w:p w14:paraId="5BF7A60E" w14:textId="77777777" w:rsidR="004A2E8E" w:rsidRDefault="00000000">
      <w:pPr>
        <w:pStyle w:val="ListParagraph"/>
        <w:numPr>
          <w:ilvl w:val="0"/>
          <w:numId w:val="4"/>
        </w:numPr>
        <w:spacing w:before="60" w:after="80"/>
      </w:pPr>
      <w:r>
        <w:rPr>
          <w:b/>
          <w:bCs/>
          <w:color w:val="0D1F0F"/>
        </w:rPr>
        <w:t xml:space="preserve">Pillar deep </w:t>
      </w:r>
      <w:proofErr w:type="gramStart"/>
      <w:r>
        <w:rPr>
          <w:b/>
          <w:bCs/>
          <w:color w:val="0D1F0F"/>
        </w:rPr>
        <w:t>dives</w:t>
      </w:r>
      <w:r>
        <w:rPr>
          <w:color w:val="6B6B65"/>
        </w:rPr>
        <w:t xml:space="preserve">  —</w:t>
      </w:r>
      <w:proofErr w:type="gramEnd"/>
      <w:r>
        <w:rPr>
          <w:color w:val="6B6B65"/>
        </w:rPr>
        <w:t xml:space="preserve">  Each issue goes deep on one pillar — the mechanism, the data, and exactly how it is implemented.</w:t>
      </w:r>
    </w:p>
    <w:p w14:paraId="46AA6125" w14:textId="77777777" w:rsidR="004A2E8E" w:rsidRDefault="00000000">
      <w:pPr>
        <w:pStyle w:val="ListParagraph"/>
        <w:numPr>
          <w:ilvl w:val="0"/>
          <w:numId w:val="5"/>
        </w:numPr>
        <w:spacing w:before="60" w:after="80"/>
      </w:pPr>
      <w:r>
        <w:rPr>
          <w:b/>
          <w:bCs/>
          <w:color w:val="0D1F0F"/>
        </w:rPr>
        <w:t xml:space="preserve">Research and clinical </w:t>
      </w:r>
      <w:proofErr w:type="gramStart"/>
      <w:r>
        <w:rPr>
          <w:b/>
          <w:bCs/>
          <w:color w:val="0D1F0F"/>
        </w:rPr>
        <w:t>context</w:t>
      </w:r>
      <w:r>
        <w:rPr>
          <w:color w:val="6B6B65"/>
        </w:rPr>
        <w:t xml:space="preserve">  —</w:t>
      </w:r>
      <w:proofErr w:type="gramEnd"/>
      <w:r>
        <w:rPr>
          <w:color w:val="6B6B65"/>
        </w:rPr>
        <w:t xml:space="preserve">  Emerging peer-reviewed findings — filtered for relevance and integrated into the living protocol.</w:t>
      </w:r>
    </w:p>
    <w:p w14:paraId="115D9E2A" w14:textId="77777777" w:rsidR="004A2E8E" w:rsidRDefault="004A2E8E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63BF5F6B" w14:textId="77777777">
        <w:tc>
          <w:tcPr>
            <w:tcW w:w="0" w:type="auto"/>
            <w:tcBorders>
              <w:top w:val="none" w:sz="0" w:space="0" w:color="FFFFFF"/>
              <w:left w:val="single" w:sz="12" w:space="0" w:color="5A9E5A"/>
              <w:bottom w:val="none" w:sz="0" w:space="0" w:color="FFFFFF"/>
              <w:right w:val="none" w:sz="0" w:space="0" w:color="FFFFFF"/>
            </w:tcBorders>
            <w:shd w:val="clear" w:color="auto" w:fill="E8F5E8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F895CF1" w14:textId="77777777" w:rsidR="004A2E8E" w:rsidRDefault="00000000">
            <w:r>
              <w:rPr>
                <w:b/>
                <w:bCs/>
                <w:color w:val="2D6B2D"/>
                <w:sz w:val="20"/>
                <w:szCs w:val="20"/>
              </w:rPr>
              <w:t xml:space="preserve">Protocol supervised by Vanderbilt University Medical </w:t>
            </w:r>
            <w:proofErr w:type="gramStart"/>
            <w:r>
              <w:rPr>
                <w:b/>
                <w:bCs/>
                <w:color w:val="2D6B2D"/>
                <w:sz w:val="20"/>
                <w:szCs w:val="20"/>
              </w:rPr>
              <w:t>Center  ·</w:t>
            </w:r>
            <w:proofErr w:type="gramEnd"/>
            <w:r>
              <w:rPr>
                <w:b/>
                <w:bCs/>
                <w:color w:val="2D6B2D"/>
                <w:sz w:val="20"/>
                <w:szCs w:val="20"/>
              </w:rPr>
              <w:t xml:space="preserve">  BMJ Case Reports submission pending</w:t>
            </w:r>
          </w:p>
        </w:tc>
      </w:tr>
    </w:tbl>
    <w:p w14:paraId="3FBC6BDB" w14:textId="77777777" w:rsidR="004A2E8E" w:rsidRDefault="004A2E8E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2FC518C8" w14:textId="77777777">
        <w:tc>
          <w:tcPr>
            <w:tcW w:w="0" w:type="auto"/>
            <w:tcBorders>
              <w:top w:val="single" w:sz="1" w:space="0" w:color="E8E5DE"/>
              <w:left w:val="single" w:sz="1" w:space="0" w:color="E8E5DE"/>
              <w:bottom w:val="single" w:sz="1" w:space="0" w:color="E8E5DE"/>
              <w:right w:val="single" w:sz="1" w:space="0" w:color="E8E5DE"/>
            </w:tcBorders>
            <w:shd w:val="clear" w:color="auto" w:fill="F7F5EF"/>
            <w:tcMar>
              <w:top w:w="200" w:type="dxa"/>
              <w:left w:w="320" w:type="dxa"/>
              <w:bottom w:w="200" w:type="dxa"/>
              <w:right w:w="320" w:type="dxa"/>
            </w:tcMar>
          </w:tcPr>
          <w:p w14:paraId="3A827E2F" w14:textId="77777777" w:rsidR="004A2E8E" w:rsidRDefault="00000000">
            <w:pPr>
              <w:spacing w:after="60"/>
            </w:pPr>
            <w:r>
              <w:rPr>
                <w:b/>
                <w:bCs/>
                <w:color w:val="5A9E5A"/>
                <w:sz w:val="18"/>
                <w:szCs w:val="18"/>
              </w:rPr>
              <w:t xml:space="preserve">NEXT </w:t>
            </w:r>
            <w:proofErr w:type="gramStart"/>
            <w:r>
              <w:rPr>
                <w:b/>
                <w:bCs/>
                <w:color w:val="5A9E5A"/>
                <w:sz w:val="18"/>
                <w:szCs w:val="18"/>
              </w:rPr>
              <w:t xml:space="preserve">ISSUE  </w:t>
            </w:r>
            <w:r>
              <w:rPr>
                <w:rFonts w:ascii="Georgia" w:eastAsia="Georgia" w:hAnsi="Georgia" w:cs="Georgia"/>
                <w:b/>
                <w:bCs/>
                <w:color w:val="0D1F0F"/>
              </w:rPr>
              <w:t>June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0D1F0F"/>
              </w:rPr>
              <w:t xml:space="preserve"> 15 Benchmark — Full Quarterly Assessment</w:t>
            </w:r>
          </w:p>
          <w:p w14:paraId="3B2FB1CF" w14:textId="77777777" w:rsidR="004A2E8E" w:rsidRDefault="00000000">
            <w:r>
              <w:rPr>
                <w:color w:val="6B6B65"/>
                <w:sz w:val="19"/>
                <w:szCs w:val="19"/>
              </w:rPr>
              <w:t xml:space="preserve">DEXA scan, </w:t>
            </w:r>
            <w:proofErr w:type="spellStart"/>
            <w:r>
              <w:rPr>
                <w:color w:val="6B6B65"/>
                <w:sz w:val="19"/>
                <w:szCs w:val="19"/>
              </w:rPr>
              <w:t>SiPhox</w:t>
            </w:r>
            <w:proofErr w:type="spellEnd"/>
            <w:r>
              <w:rPr>
                <w:color w:val="6B6B65"/>
                <w:sz w:val="19"/>
                <w:szCs w:val="19"/>
              </w:rPr>
              <w:t xml:space="preserve"> 57-biomarker panel, and </w:t>
            </w:r>
            <w:proofErr w:type="spellStart"/>
            <w:r>
              <w:rPr>
                <w:color w:val="6B6B65"/>
                <w:sz w:val="19"/>
                <w:szCs w:val="19"/>
              </w:rPr>
              <w:t>Renpho</w:t>
            </w:r>
            <w:proofErr w:type="spellEnd"/>
            <w:r>
              <w:rPr>
                <w:color w:val="6B6B65"/>
                <w:sz w:val="19"/>
                <w:szCs w:val="19"/>
              </w:rPr>
              <w:t xml:space="preserve"> calibration. Live protocol review and what changes next.</w:t>
            </w:r>
          </w:p>
        </w:tc>
      </w:tr>
    </w:tbl>
    <w:p w14:paraId="37548E8B" w14:textId="77777777" w:rsidR="004A2E8E" w:rsidRDefault="004A2E8E">
      <w:pPr>
        <w:spacing w:before="200"/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2E8E" w14:paraId="53398D87" w14:textId="77777777" w:rsidTr="00E01B9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F0F"/>
            <w:tcMar>
              <w:top w:w="440" w:type="dxa"/>
              <w:left w:w="480" w:type="dxa"/>
              <w:bottom w:w="440" w:type="dxa"/>
              <w:right w:w="480" w:type="dxa"/>
            </w:tcMar>
          </w:tcPr>
          <w:p w14:paraId="41ED34D3" w14:textId="77777777" w:rsidR="004A2E8E" w:rsidRDefault="00000000">
            <w:pPr>
              <w:spacing w:after="80"/>
              <w:jc w:val="center"/>
            </w:pPr>
            <w:r>
              <w:rPr>
                <w:b/>
                <w:bCs/>
                <w:color w:val="7EB87E"/>
                <w:sz w:val="17"/>
                <w:szCs w:val="17"/>
              </w:rPr>
              <w:t>SHARE &amp; SUBSCRIBE</w:t>
            </w:r>
          </w:p>
          <w:p w14:paraId="441063AF" w14:textId="77777777" w:rsidR="004A2E8E" w:rsidRDefault="00000000">
            <w:pPr>
              <w:spacing w:before="80" w:after="12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36"/>
                <w:szCs w:val="36"/>
              </w:rPr>
              <w:t>Know someone who needs to read this?</w:t>
            </w:r>
          </w:p>
          <w:p w14:paraId="43CD1308" w14:textId="77777777" w:rsidR="004A2E8E" w:rsidRDefault="00000000">
            <w:pPr>
              <w:spacing w:after="160"/>
              <w:jc w:val="center"/>
            </w:pPr>
            <w:r>
              <w:rPr>
                <w:color w:val="AAAAAA"/>
                <w:sz w:val="20"/>
                <w:szCs w:val="20"/>
              </w:rPr>
              <w:t xml:space="preserve">If this newsletter </w:t>
            </w:r>
            <w:proofErr w:type="gramStart"/>
            <w:r>
              <w:rPr>
                <w:color w:val="AAAAAA"/>
                <w:sz w:val="20"/>
                <w:szCs w:val="20"/>
              </w:rPr>
              <w:t>reached</w:t>
            </w:r>
            <w:proofErr w:type="gramEnd"/>
            <w:r>
              <w:rPr>
                <w:color w:val="AAAAAA"/>
                <w:sz w:val="20"/>
                <w:szCs w:val="20"/>
              </w:rPr>
              <w:t xml:space="preserve"> you through a forward, subscribe directly at MarkSkoda.com. New issues </w:t>
            </w:r>
            <w:proofErr w:type="gramStart"/>
            <w:r>
              <w:rPr>
                <w:color w:val="AAAAAA"/>
                <w:sz w:val="20"/>
                <w:szCs w:val="20"/>
              </w:rPr>
              <w:t>publish</w:t>
            </w:r>
            <w:proofErr w:type="gramEnd"/>
            <w:r>
              <w:rPr>
                <w:color w:val="AAAAAA"/>
                <w:sz w:val="20"/>
                <w:szCs w:val="20"/>
              </w:rPr>
              <w:t xml:space="preserve"> with each quarterly benchmark — no filler, no frequency padding.</w:t>
            </w:r>
          </w:p>
          <w:p w14:paraId="2D5FE74F" w14:textId="77777777" w:rsidR="004A2E8E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7EB87E"/>
                <w:sz w:val="24"/>
                <w:szCs w:val="24"/>
              </w:rPr>
              <w:t>markskoda.com</w:t>
            </w:r>
          </w:p>
        </w:tc>
      </w:tr>
    </w:tbl>
    <w:p w14:paraId="5DA02A18" w14:textId="77777777" w:rsidR="00EA173E" w:rsidRDefault="00EA173E"/>
    <w:sectPr w:rsidR="00EA173E" w:rsidSect="00E01B98">
      <w:headerReference w:type="default" r:id="rId7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AC12" w14:textId="77777777" w:rsidR="00A90A63" w:rsidRDefault="00A90A63" w:rsidP="00E01B98">
      <w:r>
        <w:separator/>
      </w:r>
    </w:p>
  </w:endnote>
  <w:endnote w:type="continuationSeparator" w:id="0">
    <w:p w14:paraId="0438DE72" w14:textId="77777777" w:rsidR="00A90A63" w:rsidRDefault="00A90A63" w:rsidP="00E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F315" w14:textId="77777777" w:rsidR="00A90A63" w:rsidRDefault="00A90A63" w:rsidP="00E01B98">
      <w:r>
        <w:separator/>
      </w:r>
    </w:p>
  </w:footnote>
  <w:footnote w:type="continuationSeparator" w:id="0">
    <w:p w14:paraId="0F9FC402" w14:textId="77777777" w:rsidR="00A90A63" w:rsidRDefault="00A90A63" w:rsidP="00E0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545" w14:textId="3C7A1315" w:rsidR="00E01B98" w:rsidRDefault="00E01B9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755C"/>
    <w:multiLevelType w:val="hybridMultilevel"/>
    <w:tmpl w:val="4E269698"/>
    <w:lvl w:ilvl="0" w:tplc="AB72DFFE">
      <w:start w:val="1"/>
      <w:numFmt w:val="bullet"/>
      <w:lvlText w:val="•"/>
      <w:lvlJc w:val="left"/>
      <w:pPr>
        <w:ind w:left="480" w:hanging="240"/>
      </w:pPr>
    </w:lvl>
    <w:lvl w:ilvl="1" w:tplc="935252E4">
      <w:numFmt w:val="decimal"/>
      <w:lvlText w:val=""/>
      <w:lvlJc w:val="left"/>
    </w:lvl>
    <w:lvl w:ilvl="2" w:tplc="52420FB8">
      <w:numFmt w:val="decimal"/>
      <w:lvlText w:val=""/>
      <w:lvlJc w:val="left"/>
    </w:lvl>
    <w:lvl w:ilvl="3" w:tplc="69A435A4">
      <w:numFmt w:val="decimal"/>
      <w:lvlText w:val=""/>
      <w:lvlJc w:val="left"/>
    </w:lvl>
    <w:lvl w:ilvl="4" w:tplc="5AD64DC8">
      <w:numFmt w:val="decimal"/>
      <w:lvlText w:val=""/>
      <w:lvlJc w:val="left"/>
    </w:lvl>
    <w:lvl w:ilvl="5" w:tplc="7F08C9D4">
      <w:numFmt w:val="decimal"/>
      <w:lvlText w:val=""/>
      <w:lvlJc w:val="left"/>
    </w:lvl>
    <w:lvl w:ilvl="6" w:tplc="4D181AB2">
      <w:numFmt w:val="decimal"/>
      <w:lvlText w:val=""/>
      <w:lvlJc w:val="left"/>
    </w:lvl>
    <w:lvl w:ilvl="7" w:tplc="5FA23A42">
      <w:numFmt w:val="decimal"/>
      <w:lvlText w:val=""/>
      <w:lvlJc w:val="left"/>
    </w:lvl>
    <w:lvl w:ilvl="8" w:tplc="6ABC1274">
      <w:numFmt w:val="decimal"/>
      <w:lvlText w:val=""/>
      <w:lvlJc w:val="left"/>
    </w:lvl>
  </w:abstractNum>
  <w:abstractNum w:abstractNumId="1" w15:restartNumberingAfterBreak="0">
    <w:nsid w:val="4CB75DF3"/>
    <w:multiLevelType w:val="hybridMultilevel"/>
    <w:tmpl w:val="A3C68406"/>
    <w:lvl w:ilvl="0" w:tplc="7B20DD1A">
      <w:start w:val="1"/>
      <w:numFmt w:val="bullet"/>
      <w:lvlText w:val="●"/>
      <w:lvlJc w:val="left"/>
      <w:pPr>
        <w:ind w:left="720" w:hanging="360"/>
      </w:pPr>
    </w:lvl>
    <w:lvl w:ilvl="1" w:tplc="A9CA2F40">
      <w:start w:val="1"/>
      <w:numFmt w:val="bullet"/>
      <w:lvlText w:val="○"/>
      <w:lvlJc w:val="left"/>
      <w:pPr>
        <w:ind w:left="1440" w:hanging="360"/>
      </w:pPr>
    </w:lvl>
    <w:lvl w:ilvl="2" w:tplc="345622D8">
      <w:start w:val="1"/>
      <w:numFmt w:val="bullet"/>
      <w:lvlText w:val="■"/>
      <w:lvlJc w:val="left"/>
      <w:pPr>
        <w:ind w:left="2160" w:hanging="360"/>
      </w:pPr>
    </w:lvl>
    <w:lvl w:ilvl="3" w:tplc="FD7E73EA">
      <w:start w:val="1"/>
      <w:numFmt w:val="bullet"/>
      <w:lvlText w:val="●"/>
      <w:lvlJc w:val="left"/>
      <w:pPr>
        <w:ind w:left="2880" w:hanging="360"/>
      </w:pPr>
    </w:lvl>
    <w:lvl w:ilvl="4" w:tplc="5ABE7C9A">
      <w:start w:val="1"/>
      <w:numFmt w:val="bullet"/>
      <w:lvlText w:val="○"/>
      <w:lvlJc w:val="left"/>
      <w:pPr>
        <w:ind w:left="3600" w:hanging="360"/>
      </w:pPr>
    </w:lvl>
    <w:lvl w:ilvl="5" w:tplc="9F6EE902">
      <w:start w:val="1"/>
      <w:numFmt w:val="bullet"/>
      <w:lvlText w:val="■"/>
      <w:lvlJc w:val="left"/>
      <w:pPr>
        <w:ind w:left="4320" w:hanging="360"/>
      </w:pPr>
    </w:lvl>
    <w:lvl w:ilvl="6" w:tplc="AC966680">
      <w:start w:val="1"/>
      <w:numFmt w:val="bullet"/>
      <w:lvlText w:val="●"/>
      <w:lvlJc w:val="left"/>
      <w:pPr>
        <w:ind w:left="5040" w:hanging="360"/>
      </w:pPr>
    </w:lvl>
    <w:lvl w:ilvl="7" w:tplc="D05876B2">
      <w:start w:val="1"/>
      <w:numFmt w:val="bullet"/>
      <w:lvlText w:val="●"/>
      <w:lvlJc w:val="left"/>
      <w:pPr>
        <w:ind w:left="5760" w:hanging="360"/>
      </w:pPr>
    </w:lvl>
    <w:lvl w:ilvl="8" w:tplc="2A5EB0C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2B52C0D"/>
    <w:multiLevelType w:val="hybridMultilevel"/>
    <w:tmpl w:val="6FFEF610"/>
    <w:lvl w:ilvl="0" w:tplc="55FC1A92">
      <w:start w:val="1"/>
      <w:numFmt w:val="bullet"/>
      <w:lvlText w:val="•"/>
      <w:lvlJc w:val="left"/>
      <w:pPr>
        <w:ind w:left="480" w:hanging="240"/>
      </w:pPr>
    </w:lvl>
    <w:lvl w:ilvl="1" w:tplc="AB542528">
      <w:numFmt w:val="decimal"/>
      <w:lvlText w:val=""/>
      <w:lvlJc w:val="left"/>
    </w:lvl>
    <w:lvl w:ilvl="2" w:tplc="F16A2838">
      <w:numFmt w:val="decimal"/>
      <w:lvlText w:val=""/>
      <w:lvlJc w:val="left"/>
    </w:lvl>
    <w:lvl w:ilvl="3" w:tplc="671C3D0C">
      <w:numFmt w:val="decimal"/>
      <w:lvlText w:val=""/>
      <w:lvlJc w:val="left"/>
    </w:lvl>
    <w:lvl w:ilvl="4" w:tplc="4ECA2CF8">
      <w:numFmt w:val="decimal"/>
      <w:lvlText w:val=""/>
      <w:lvlJc w:val="left"/>
    </w:lvl>
    <w:lvl w:ilvl="5" w:tplc="775A3858">
      <w:numFmt w:val="decimal"/>
      <w:lvlText w:val=""/>
      <w:lvlJc w:val="left"/>
    </w:lvl>
    <w:lvl w:ilvl="6" w:tplc="014898FC">
      <w:numFmt w:val="decimal"/>
      <w:lvlText w:val=""/>
      <w:lvlJc w:val="left"/>
    </w:lvl>
    <w:lvl w:ilvl="7" w:tplc="6D9A2878">
      <w:numFmt w:val="decimal"/>
      <w:lvlText w:val=""/>
      <w:lvlJc w:val="left"/>
    </w:lvl>
    <w:lvl w:ilvl="8" w:tplc="F7AADFCC">
      <w:numFmt w:val="decimal"/>
      <w:lvlText w:val=""/>
      <w:lvlJc w:val="left"/>
    </w:lvl>
  </w:abstractNum>
  <w:abstractNum w:abstractNumId="3" w15:restartNumberingAfterBreak="0">
    <w:nsid w:val="57FA5C31"/>
    <w:multiLevelType w:val="hybridMultilevel"/>
    <w:tmpl w:val="0B5C0AB2"/>
    <w:lvl w:ilvl="0" w:tplc="B088E982">
      <w:start w:val="1"/>
      <w:numFmt w:val="bullet"/>
      <w:lvlText w:val="•"/>
      <w:lvlJc w:val="left"/>
      <w:pPr>
        <w:ind w:left="480" w:hanging="240"/>
      </w:pPr>
    </w:lvl>
    <w:lvl w:ilvl="1" w:tplc="DD268C8E">
      <w:numFmt w:val="decimal"/>
      <w:lvlText w:val=""/>
      <w:lvlJc w:val="left"/>
    </w:lvl>
    <w:lvl w:ilvl="2" w:tplc="B3DEC95A">
      <w:numFmt w:val="decimal"/>
      <w:lvlText w:val=""/>
      <w:lvlJc w:val="left"/>
    </w:lvl>
    <w:lvl w:ilvl="3" w:tplc="1E74B284">
      <w:numFmt w:val="decimal"/>
      <w:lvlText w:val=""/>
      <w:lvlJc w:val="left"/>
    </w:lvl>
    <w:lvl w:ilvl="4" w:tplc="FD14B33A">
      <w:numFmt w:val="decimal"/>
      <w:lvlText w:val=""/>
      <w:lvlJc w:val="left"/>
    </w:lvl>
    <w:lvl w:ilvl="5" w:tplc="4E9C35FA">
      <w:numFmt w:val="decimal"/>
      <w:lvlText w:val=""/>
      <w:lvlJc w:val="left"/>
    </w:lvl>
    <w:lvl w:ilvl="6" w:tplc="29C01F70">
      <w:numFmt w:val="decimal"/>
      <w:lvlText w:val=""/>
      <w:lvlJc w:val="left"/>
    </w:lvl>
    <w:lvl w:ilvl="7" w:tplc="7DD60C06">
      <w:numFmt w:val="decimal"/>
      <w:lvlText w:val=""/>
      <w:lvlJc w:val="left"/>
    </w:lvl>
    <w:lvl w:ilvl="8" w:tplc="A35EDD8E">
      <w:numFmt w:val="decimal"/>
      <w:lvlText w:val=""/>
      <w:lvlJc w:val="left"/>
    </w:lvl>
  </w:abstractNum>
  <w:abstractNum w:abstractNumId="4" w15:restartNumberingAfterBreak="0">
    <w:nsid w:val="734F76C9"/>
    <w:multiLevelType w:val="hybridMultilevel"/>
    <w:tmpl w:val="92B0E25E"/>
    <w:lvl w:ilvl="0" w:tplc="AC862CF2">
      <w:start w:val="1"/>
      <w:numFmt w:val="bullet"/>
      <w:lvlText w:val="•"/>
      <w:lvlJc w:val="left"/>
      <w:pPr>
        <w:ind w:left="480" w:hanging="240"/>
      </w:pPr>
    </w:lvl>
    <w:lvl w:ilvl="1" w:tplc="A4FCEAE4">
      <w:numFmt w:val="decimal"/>
      <w:lvlText w:val=""/>
      <w:lvlJc w:val="left"/>
    </w:lvl>
    <w:lvl w:ilvl="2" w:tplc="AC4C8594">
      <w:numFmt w:val="decimal"/>
      <w:lvlText w:val=""/>
      <w:lvlJc w:val="left"/>
    </w:lvl>
    <w:lvl w:ilvl="3" w:tplc="0D0A7698">
      <w:numFmt w:val="decimal"/>
      <w:lvlText w:val=""/>
      <w:lvlJc w:val="left"/>
    </w:lvl>
    <w:lvl w:ilvl="4" w:tplc="FFFAAAF8">
      <w:numFmt w:val="decimal"/>
      <w:lvlText w:val=""/>
      <w:lvlJc w:val="left"/>
    </w:lvl>
    <w:lvl w:ilvl="5" w:tplc="9A9CBB02">
      <w:numFmt w:val="decimal"/>
      <w:lvlText w:val=""/>
      <w:lvlJc w:val="left"/>
    </w:lvl>
    <w:lvl w:ilvl="6" w:tplc="F58A3B8A">
      <w:numFmt w:val="decimal"/>
      <w:lvlText w:val=""/>
      <w:lvlJc w:val="left"/>
    </w:lvl>
    <w:lvl w:ilvl="7" w:tplc="95B0242E">
      <w:numFmt w:val="decimal"/>
      <w:lvlText w:val=""/>
      <w:lvlJc w:val="left"/>
    </w:lvl>
    <w:lvl w:ilvl="8" w:tplc="49025414">
      <w:numFmt w:val="decimal"/>
      <w:lvlText w:val=""/>
      <w:lvlJc w:val="left"/>
    </w:lvl>
  </w:abstractNum>
  <w:num w:numId="1" w16cid:durableId="616908685">
    <w:abstractNumId w:val="1"/>
    <w:lvlOverride w:ilvl="0">
      <w:startOverride w:val="1"/>
    </w:lvlOverride>
  </w:num>
  <w:num w:numId="2" w16cid:durableId="1942836681">
    <w:abstractNumId w:val="3"/>
    <w:lvlOverride w:ilvl="0">
      <w:startOverride w:val="1"/>
    </w:lvlOverride>
  </w:num>
  <w:num w:numId="3" w16cid:durableId="1834293611">
    <w:abstractNumId w:val="0"/>
    <w:lvlOverride w:ilvl="0">
      <w:startOverride w:val="1"/>
    </w:lvlOverride>
  </w:num>
  <w:num w:numId="4" w16cid:durableId="863060037">
    <w:abstractNumId w:val="2"/>
    <w:lvlOverride w:ilvl="0">
      <w:startOverride w:val="1"/>
    </w:lvlOverride>
  </w:num>
  <w:num w:numId="5" w16cid:durableId="207030480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8E"/>
    <w:rsid w:val="002E781B"/>
    <w:rsid w:val="004332B8"/>
    <w:rsid w:val="004A2E8E"/>
    <w:rsid w:val="00A90A63"/>
    <w:rsid w:val="00BD6C89"/>
    <w:rsid w:val="00C62783"/>
    <w:rsid w:val="00E01B98"/>
    <w:rsid w:val="00E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A978"/>
  <w15:docId w15:val="{8005F542-8F99-442A-B2C9-DA28153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98"/>
  </w:style>
  <w:style w:type="paragraph" w:styleId="Footer">
    <w:name w:val="footer"/>
    <w:basedOn w:val="Normal"/>
    <w:link w:val="FooterChar"/>
    <w:uiPriority w:val="99"/>
    <w:unhideWhenUsed/>
    <w:rsid w:val="00E01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827</Words>
  <Characters>4767</Characters>
  <Application>Microsoft Office Word</Application>
  <DocSecurity>0</DocSecurity>
  <Lines>140</Lines>
  <Paragraphs>91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Mark Skoda</cp:lastModifiedBy>
  <cp:revision>6</cp:revision>
  <cp:lastPrinted>2026-05-11T13:51:00Z</cp:lastPrinted>
  <dcterms:created xsi:type="dcterms:W3CDTF">2026-05-09T14:11:00Z</dcterms:created>
  <dcterms:modified xsi:type="dcterms:W3CDTF">2026-05-11T13:52:00Z</dcterms:modified>
</cp:coreProperties>
</file>